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MADHUBAN CURRY</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Lamb Dansak</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soya, mustard,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Aubergine and bean curry</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soya, mustard,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Daal</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0.00</w:t>
            </w:r>
          </w:p>
        </w:tc>
        <w:tc>
          <w:tcPr>
            <w:tcW w:type="dxa" w:w="1134"/>
          </w:tcPr>
          <w:p>
            <w:r>
              <w:rPr>
                <w:rStyle w:val="IntenseEmphasis"/>
              </w:rPr>
            </w:r>
          </w:p>
          <w:p>
            <w:r>
              <w:rPr>
                <w:rStyle w:val="IntenseEmphasis"/>
              </w:rPr>
            </w:r>
          </w:p>
          <w:p>
            <w:pPr>
              <w:jc w:val="right"/>
            </w:pPr>
            <w:r>
              <w:rPr>
                <w:rStyle w:val="IntenseEmphasis"/>
              </w:rPr>
              <w:t>0.00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Popadum</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8" name="Picture 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Flatbread</w:t>
            </w:r>
            <w:r>
              <w:t xml:space="preserve"> </w:t>
            </w:r>
            <w:r>
              <w:drawing>
                <wp:inline xmlns:a="http://schemas.openxmlformats.org/drawingml/2006/main" xmlns:pic="http://schemas.openxmlformats.org/drawingml/2006/picture">
                  <wp:extent cx="173913" cy="220000"/>
                  <wp:docPr id="9" name="Picture 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0" name="Picture 1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bl>
    <w:p>
      <w:r>
        <w:br w:type="page"/>
      </w:r>
    </w:p>
    <w:p/>
    <w:p>
      <w:pPr>
        <w:pStyle w:val="Title"/>
      </w:pPr>
      <w:r>
        <w:t>Burger</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Beef burger</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Chicken burger</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celery,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2" name="Picture 1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4" name="Picture 1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Chicken Joe's</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Maple and sweet chilli chicken</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Mediteranean kebab</w:t>
            </w:r>
          </w:p>
        </w:tc>
        <w:tc>
          <w:tcPr>
            <w:tcW w:type="dxa" w:w="1134"/>
          </w:tcPr>
          <w:p>
            <w:r>
              <w:rPr>
                <w:rStyle w:val="IntenseEmphasis"/>
              </w:rPr>
            </w:r>
          </w:p>
          <w:p>
            <w:r>
              <w:rPr>
                <w:rStyle w:val="IntenseEmphasis"/>
              </w:rPr>
            </w:r>
          </w:p>
          <w:p>
            <w:pPr>
              <w:jc w:val="right"/>
            </w:pPr>
            <w:r>
              <w:rPr>
                <w:rStyle w:val="IntenseEmphasis"/>
              </w:rPr>
              <w:t>3.50</w:t>
            </w:r>
          </w:p>
        </w:tc>
        <w:tc>
          <w:tcPr>
            <w:tcW w:type="dxa" w:w="1134"/>
          </w:tcPr>
          <w:p>
            <w:r>
              <w:rPr>
                <w:rStyle w:val="IntenseEmphasis"/>
              </w:rPr>
            </w:r>
          </w:p>
          <w:p>
            <w:r>
              <w:rPr>
                <w:rStyle w:val="IntenseEmphasis"/>
              </w:rPr>
            </w:r>
          </w:p>
          <w:p>
            <w:pPr>
              <w:jc w:val="right"/>
            </w:pPr>
            <w:r>
              <w:rPr>
                <w:rStyle w:val="IntenseEmphasis"/>
              </w:rPr>
              <w:t>3.50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Pr>
        <w:pStyle w:val="SubtleEmphasis"/>
      </w:pPr>
    </w:p>
    <w:p>
      <w:pPr>
        <w:pStyle w:val="Subtitle"/>
      </w:pPr>
      <w:r>
        <w:t>Assorted topping- please see separate menu</w:t>
      </w:r>
    </w:p>
    <w:p>
      <w:pPr>
        <w:jc w:val="center"/>
      </w:pPr>
      <w:r>
        <w:rPr>
          <w:rStyle w:val="SubtleEmphasis"/>
        </w:rPr>
        <w:t>Contains cereals containing gluten, milk</w:t>
      </w:r>
    </w:p>
    <w:p>
      <w:pPr>
        <w:jc w:val="center"/>
      </w:pPr>
      <w:r/>
    </w:p>
    <w:p/>
    <w:tbl>
      <w:tblPr>
        <w:tblStyle w:val="DailyMenu"/>
        <w:tblW w:type="auto" w:w="0"/>
      </w:tblPr>
      <w:tblGrid>
        <w:gridCol/>
        <w:gridCol/>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p/>
        </w:tc>
        <w:tc>
          <w:p/>
        </w:tc>
      </w:tr>
      <w:tr>
        <w:tc>
          <w:p/>
        </w:tc>
        <w:tc>
          <w:p/>
        </w:tc>
      </w:tr>
    </w:tbl>
    <w:p>
      <w:r>
        <w:br w:type="page"/>
      </w:r>
    </w:p>
    <w:p/>
    <w:p>
      <w:pPr>
        <w:pStyle w:val="Title"/>
      </w:pPr>
      <w:r>
        <w:t>Daily menu</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Hand battered cod</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soya, eggs, fish, sulphates,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Fennel and blue cheese tart</w:t>
            </w:r>
            <w:r>
              <w:t xml:space="preserve"> </w:t>
            </w:r>
            <w:r>
              <w:drawing>
                <wp:inline xmlns:a="http://schemas.openxmlformats.org/drawingml/2006/main" xmlns:pic="http://schemas.openxmlformats.org/drawingml/2006/picture">
                  <wp:extent cx="173913" cy="22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soya, eggs,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Mushy peas</w:t>
            </w:r>
            <w:r>
              <w:t xml:space="preserve"> </w:t>
            </w:r>
            <w:r>
              <w:drawing>
                <wp:inline xmlns:a="http://schemas.openxmlformats.org/drawingml/2006/main" xmlns:pic="http://schemas.openxmlformats.org/drawingml/2006/picture">
                  <wp:extent cx="173913" cy="220000"/>
                  <wp:docPr id="20" name="Picture 2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21" name="Picture 2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22" name="Picture 2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23" name="Picture 2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24" name="Picture 2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25" name="Picture 2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Menu</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Peri peri half chicken</w:t>
            </w:r>
          </w:p>
        </w:tc>
        <w:tc>
          <w:tcPr>
            <w:tcW w:type="dxa" w:w="1134"/>
          </w:tcPr>
          <w:p>
            <w:r>
              <w:rPr>
                <w:rStyle w:val="IntenseEmphasis"/>
              </w:rPr>
            </w:r>
          </w:p>
          <w:p>
            <w:r>
              <w:rPr>
                <w:rStyle w:val="IntenseEmphasis"/>
              </w:rPr>
            </w:r>
          </w:p>
          <w:p>
            <w:pPr>
              <w:jc w:val="right"/>
            </w:pPr>
            <w:r>
              <w:rPr>
                <w:rStyle w:val="IntenseEmphasis"/>
              </w:rPr>
              <w:t>4.00</w:t>
            </w:r>
          </w:p>
        </w:tc>
        <w:tc>
          <w:tcPr>
            <w:tcW w:type="dxa" w:w="1134"/>
          </w:tcPr>
          <w:p>
            <w:r>
              <w:rPr>
                <w:rStyle w:val="IntenseEmphasis"/>
              </w:rPr>
            </w:r>
          </w:p>
          <w:p>
            <w:r>
              <w:rPr>
                <w:rStyle w:val="IntenseEmphasis"/>
              </w:rPr>
            </w:r>
          </w:p>
          <w:p>
            <w:pPr>
              <w:jc w:val="right"/>
            </w:pPr>
            <w:r>
              <w:rPr>
                <w:rStyle w:val="IntenseEmphasis"/>
              </w:rPr>
              <w:t>3.20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26" name="Picture 2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27" name="Picture 2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28" name="Picture 2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257391" cy="220000"/>
                  <wp:docPr id="29" name="Picture 2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1.75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Friday 16 March 2018</dc:description>
  <dc:title>Daily Menu for Friday 16 March 2018</dc:title>
</cp:coreProperties>
</file>