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Vegetable</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Broccoli</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Peas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p>
        </w:tc>
        <w:tc>
          <w:tcPr>
            <w:tcW w:type="dxa" w:w="1134"/>
          </w:tcPr>
          <w:p>
            <w:pPr>
              <w:jc w:val="right"/>
            </w:pPr>
          </w:p>
        </w:tc>
        <w:tc>
          <w:tcPr>
            <w:tcW w:type="dxa" w:w="1134"/>
          </w:tcPr>
          <w:p>
            <w:pPr>
              <w:jc w:val="right"/>
            </w:pPr>
          </w:p>
        </w:tc>
      </w:tr>
    </w:tbl>
    <w:p/>
    <w:p>
      <w:pPr>
        <w:pStyle w:val="Title"/>
      </w:pPr>
      <w:r>
        <w:t>Jacket of the Day - Hot</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Baked beans &amp; cheese</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p>
        </w:tc>
        <w:tc>
          <w:tcPr>
            <w:tcW w:type="dxa" w:w="1134"/>
          </w:tcPr>
          <w:p>
            <w:pPr>
              <w:jc w:val="right"/>
            </w:pPr>
          </w:p>
        </w:tc>
        <w:tc>
          <w:tcPr>
            <w:tcW w:type="dxa" w:w="1134"/>
          </w:tcPr>
          <w:p>
            <w:pPr>
              <w:jc w:val="right"/>
            </w:pPr>
          </w:p>
        </w:tc>
      </w:tr>
    </w:tbl>
    <w:p/>
    <w:p>
      <w:pPr>
        <w:pStyle w:val="Title"/>
      </w:pPr>
      <w:r>
        <w:t>Jacket of the Day - Cold</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Tuna mayonaise</w:t>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eggs, fish, mustard, milk</w:t>
              <w:br/>
            </w:r>
          </w:p>
        </w:tc>
        <w:tc>
          <w:tcPr>
            <w:tcW w:type="dxa" w:w="1134"/>
          </w:tcPr>
          <w:p>
            <w:pPr>
              <w:jc w:val="right"/>
            </w:pPr>
          </w:p>
        </w:tc>
        <w:tc>
          <w:tcPr>
            <w:tcW w:type="dxa" w:w="1134"/>
          </w:tcPr>
          <w:p>
            <w:pPr>
              <w:jc w:val="right"/>
            </w:pPr>
          </w:p>
        </w:tc>
      </w:tr>
      <w:tr>
        <w:tc>
          <w:tcPr>
            <w:tcW w:type="dxa" w:w="6917"/>
          </w:tcPr>
          <w:p>
            <w:r>
              <w:rPr>
                <w:rStyle w:val="Strong"/>
                <w:b/>
              </w:rPr>
              <w:t>Grated mature cheddar</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bl>
    <w:p/>
    <w:p>
      <w:r>
        <w:br w:type="page"/>
      </w:r>
    </w:p>
    <w:p/>
    <w:p>
      <w:pPr>
        <w:pStyle w:val="Title"/>
      </w:pPr>
      <w:r>
        <w:t>Potato</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Parsley boiled</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1.20</w:t>
            </w:r>
          </w:p>
        </w:tc>
        <w:tc>
          <w:tcPr>
            <w:tcW w:type="dxa" w:w="1134"/>
          </w:tcPr>
          <w:p>
            <w:r>
              <w:rPr>
                <w:rStyle w:val="IntenseEmphasis"/>
              </w:rPr>
            </w:r>
          </w:p>
          <w:p>
            <w:r>
              <w:rPr>
                <w:rStyle w:val="IntenseEmphasis"/>
              </w:rPr>
            </w:r>
          </w:p>
          <w:p>
            <w:pPr>
              <w:jc w:val="right"/>
            </w:pPr>
            <w:r>
              <w:rPr>
                <w:rStyle w:val="IntenseEmphasis"/>
              </w:rPr>
              <w:t>1.00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Portion of chips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1.75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Main course</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Vegetarian spring rolls, chilli stir-fry vegetables in sauce</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cereals containing gluten, celery, sesame seed, soya</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Beef burritos</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Premium main course</w:t>
      </w:r>
    </w:p>
    <w:p>
      <w:pPr>
        <w:pStyle w:val="SubtleEmphasis"/>
      </w:pPr>
    </w:p>
    <w:p>
      <w:pPr>
        <w:pStyle w:val="Subtitle"/>
      </w:pPr>
      <w:r>
        <w:t>Freshly prepared hand-battered cod, lemon, tartare sauce</w:t>
      </w:r>
    </w:p>
    <w:p>
      <w:pPr>
        <w:jc w:val="center"/>
      </w:pPr>
      <w:r>
        <w:rPr>
          <w:rStyle w:val="SubtleEmphasis"/>
        </w:rPr>
        <w:t>Contains eggs, cereals containing gluten, fish, mustard</w:t>
      </w:r>
    </w:p>
    <w:p>
      <w:pPr>
        <w:jc w:val="center"/>
      </w:pPr>
      <w:r/>
    </w:p>
    <w:p/>
    <w:tbl>
      <w:tblPr>
        <w:tblStyle w:val="DailyMenu"/>
        <w:tblW w:type="auto" w:w="0"/>
      </w:tblPr>
      <w:tblGrid>
        <w:gridCol/>
        <w:gridCol/>
      </w:tblGrid>
      <w:tr>
        <w:tc>
          <w:tcPr>
            <w:tcW w:type="dxa" w:w="5386"/>
          </w:tcPr>
          <w:p>
            <w:pPr>
              <w:jc w:val="center"/>
            </w:pPr>
            <w:r>
              <w:rPr>
                <w:rStyle w:val="IntenseEmphasis"/>
              </w:rPr>
              <w:t>3.90</w:t>
            </w:r>
          </w:p>
        </w:tc>
        <w:tc>
          <w:tcPr>
            <w:tcW w:type="dxa" w:w="5386"/>
          </w:tcPr>
          <w:p>
            <w:pPr>
              <w:jc w:val="center"/>
            </w:pPr>
            <w:r>
              <w:rPr>
                <w:rStyle w:val="IntenseEmphasis"/>
              </w:rPr>
              <w:t>3.25</w:t>
            </w:r>
          </w:p>
        </w:tc>
      </w:tr>
      <w:tr>
        <w:tc>
          <w:tcPr>
            <w:tcW w:type="dxa" w:w="5386"/>
          </w:tcPr>
          <w:p>
            <w:pPr>
              <w:jc w:val="center"/>
            </w:pPr>
            <w:r>
              <w:rPr>
                <w:rStyle w:val="Emphasis"/>
              </w:rPr>
              <w:t>Staff</w:t>
            </w:r>
          </w:p>
        </w:tc>
        <w:tc>
          <w:tcPr>
            <w:tcW w:type="dxa" w:w="5386"/>
          </w:tcPr>
          <w:p>
            <w:pPr>
              <w:jc w:val="center"/>
            </w:pPr>
            <w:r>
              <w:rPr>
                <w:rStyle w:val="Emphasis"/>
              </w:rPr>
              <w:t>Student</w:t>
            </w:r>
          </w:p>
        </w:tc>
      </w:tr>
      <w:tr>
        <w:tc>
          <w:p/>
        </w:tc>
        <w:tc>
          <w:p/>
        </w:tc>
      </w:tr>
      <w:tr>
        <w:tc>
          <w:p/>
        </w:tc>
        <w:tc>
          <w:p/>
        </w:tc>
      </w:tr>
    </w:tbl>
    <w:p>
      <w:r>
        <w:br w:type="page"/>
      </w:r>
    </w:p>
    <w:p/>
    <w:p>
      <w:pPr>
        <w:pStyle w:val="Title"/>
      </w:pPr>
      <w:r>
        <w:t>Pizza slice</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Four cheese</w:t>
            </w:r>
            <w:r>
              <w:t xml:space="preserve"> </w:t>
            </w:r>
            <w:r>
              <w:drawing>
                <wp:inline xmlns:a="http://schemas.openxmlformats.org/drawingml/2006/main" xmlns:pic="http://schemas.openxmlformats.org/drawingml/2006/picture">
                  <wp:extent cx="173913" cy="22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3.00</w:t>
            </w:r>
          </w:p>
        </w:tc>
        <w:tc>
          <w:tcPr>
            <w:tcW w:type="dxa" w:w="1134"/>
          </w:tcPr>
          <w:p>
            <w:r>
              <w:rPr>
                <w:rStyle w:val="IntenseEmphasis"/>
              </w:rPr>
            </w:r>
          </w:p>
          <w:p>
            <w:r>
              <w:rPr>
                <w:rStyle w:val="IntenseEmphasis"/>
              </w:rPr>
            </w:r>
          </w:p>
          <w:p>
            <w:pPr>
              <w:jc w:val="right"/>
            </w:pPr>
            <w:r>
              <w:rPr>
                <w:rStyle w:val="IntenseEmphasis"/>
              </w:rPr>
              <w:t>2.50</w:t>
            </w:r>
          </w:p>
        </w:tc>
      </w:tr>
      <w:tr>
        <w:tc>
          <w:tcPr>
            <w:tcW w:type="dxa" w:w="6917"/>
          </w:tcPr>
          <w:p>
            <w:r>
              <w:rPr>
                <w:rStyle w:val="Emphasis"/>
              </w:rPr>
              <w:t>Contains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Pepperoni</w:t>
            </w:r>
          </w:p>
        </w:tc>
        <w:tc>
          <w:tcPr>
            <w:tcW w:type="dxa" w:w="1134"/>
          </w:tcPr>
          <w:p>
            <w:r>
              <w:rPr>
                <w:rStyle w:val="IntenseEmphasis"/>
              </w:rPr>
            </w:r>
          </w:p>
          <w:p>
            <w:r>
              <w:rPr>
                <w:rStyle w:val="IntenseEmphasis"/>
              </w:rPr>
            </w:r>
          </w:p>
          <w:p>
            <w:pPr>
              <w:jc w:val="right"/>
            </w:pPr>
            <w:r>
              <w:rPr>
                <w:rStyle w:val="IntenseEmphasis"/>
              </w:rPr>
              <w:t>3.00</w:t>
            </w:r>
          </w:p>
        </w:tc>
        <w:tc>
          <w:tcPr>
            <w:tcW w:type="dxa" w:w="1134"/>
          </w:tcPr>
          <w:p>
            <w:r>
              <w:rPr>
                <w:rStyle w:val="IntenseEmphasis"/>
              </w:rPr>
            </w:r>
          </w:p>
          <w:p>
            <w:r>
              <w:rPr>
                <w:rStyle w:val="IntenseEmphasis"/>
              </w:rPr>
            </w:r>
          </w:p>
          <w:p>
            <w:pPr>
              <w:jc w:val="right"/>
            </w:pPr>
            <w:r>
              <w:rPr>
                <w:rStyle w:val="IntenseEmphasis"/>
              </w:rPr>
              <w:t>2.50</w:t>
            </w:r>
          </w:p>
        </w:tc>
      </w:tr>
      <w:tr>
        <w:tc>
          <w:tcPr>
            <w:tcW w:type="dxa" w:w="6917"/>
          </w:tcPr>
          <w:p>
            <w:r>
              <w:rPr>
                <w:rStyle w:val="Emphasis"/>
              </w:rPr>
              <w:t>Contains lupin,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Classic burger</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Spinach &amp; falafel burger</w:t>
            </w:r>
            <w:r>
              <w:t xml:space="preserve"> </w:t>
            </w:r>
            <w:r>
              <w:drawing>
                <wp:inline xmlns:a="http://schemas.openxmlformats.org/drawingml/2006/main" xmlns:pic="http://schemas.openxmlformats.org/drawingml/2006/picture">
                  <wp:extent cx="173913" cy="22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17" name="Picture 1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3.30</w:t>
            </w:r>
          </w:p>
        </w:tc>
        <w:tc>
          <w:tcPr>
            <w:tcW w:type="dxa" w:w="1134"/>
          </w:tcPr>
          <w:p>
            <w:r>
              <w:rPr>
                <w:rStyle w:val="IntenseEmphasis"/>
              </w:rPr>
            </w:r>
          </w:p>
          <w:p>
            <w:r>
              <w:rPr>
                <w:rStyle w:val="IntenseEmphasis"/>
              </w:rPr>
            </w:r>
          </w:p>
          <w:p>
            <w:pPr>
              <w:jc w:val="right"/>
            </w:pPr>
            <w:r>
              <w:rPr>
                <w:rStyle w:val="IntenseEmphasis"/>
              </w:rPr>
              <w:t>2.75</w:t>
            </w:r>
          </w:p>
        </w:tc>
      </w:tr>
      <w:tr>
        <w:tc>
          <w:tcPr>
            <w:tcW w:type="dxa" w:w="6917"/>
          </w:tcPr>
          <w:p>
            <w:r>
              <w:rPr>
                <w:rStyle w:val="Emphasis"/>
              </w:rPr>
              <w:t>Contains lupin,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Beef burger</w:t>
            </w:r>
          </w:p>
        </w:tc>
        <w:tc>
          <w:tcPr>
            <w:tcW w:type="dxa" w:w="1134"/>
          </w:tcPr>
          <w:p>
            <w:r>
              <w:rPr>
                <w:rStyle w:val="IntenseEmphasis"/>
              </w:rPr>
            </w:r>
          </w:p>
          <w:p>
            <w:r>
              <w:rPr>
                <w:rStyle w:val="IntenseEmphasis"/>
              </w:rPr>
            </w:r>
          </w:p>
          <w:p>
            <w:pPr>
              <w:jc w:val="right"/>
            </w:pPr>
            <w:r>
              <w:rPr>
                <w:rStyle w:val="IntenseEmphasis"/>
              </w:rPr>
              <w:t>3.30</w:t>
            </w:r>
          </w:p>
        </w:tc>
        <w:tc>
          <w:tcPr>
            <w:tcW w:type="dxa" w:w="1134"/>
          </w:tcPr>
          <w:p>
            <w:r>
              <w:rPr>
                <w:rStyle w:val="IntenseEmphasis"/>
              </w:rPr>
            </w:r>
          </w:p>
          <w:p>
            <w:r>
              <w:rPr>
                <w:rStyle w:val="IntenseEmphasis"/>
              </w:rPr>
            </w:r>
          </w:p>
          <w:p>
            <w:pPr>
              <w:jc w:val="right"/>
            </w:pPr>
            <w:r>
              <w:rPr>
                <w:rStyle w:val="IntenseEmphasis"/>
              </w:rPr>
              <w:t>2.75</w:t>
            </w:r>
          </w:p>
        </w:tc>
      </w:tr>
      <w:tr>
        <w:tc>
          <w:tcPr>
            <w:tcW w:type="dxa" w:w="6917"/>
          </w:tcPr>
          <w:p>
            <w:r>
              <w:rPr>
                <w:rStyle w:val="Emphasis"/>
              </w:rPr>
              <w:t>Contains lupin, cereals containing gluten, celery, sulphur dioxide,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C3506A">
    <w:pPr>
      <w:pStyle w:val="Header"/>
    </w:pPr>
    <w:r>
      <w:rPr>
        <w:noProof/>
        <w:lang w:eastAsia="en-GB" w:bidi="ar-SA"/>
      </w:rPr>
      <w:drawing>
        <wp:anchor distT="0" distB="0" distL="114300" distR="114300" simplePos="0" relativeHeight="251656318" behindDoc="0" locked="0" layoutInCell="1" allowOverlap="1" wp14:anchorId="1C5A8F16" wp14:editId="592FEE32">
          <wp:simplePos x="0" y="0"/>
          <wp:positionH relativeFrom="column">
            <wp:posOffset>11430</wp:posOffset>
          </wp:positionH>
          <wp:positionV relativeFrom="paragraph">
            <wp:posOffset>-1373505</wp:posOffset>
          </wp:positionV>
          <wp:extent cx="1241734"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172" cy="1309419"/>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3506A"/>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2016-04-03T19:51:00Z</dcterms:modified>
  <dc:description>Friday 22 June 2018</dc:description>
  <dc:title>Daily Menu for Friday 22 June 2018</dc:title>
</cp:coreProperties>
</file>