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Smoked Haddock And Spring Onion Fishcakes With Dill Cream Sauce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 fish, milk</w:t>
              <w:br/>
            </w:r>
          </w:p>
        </w:tc>
        <w:tc>
          <w:tcPr>
            <w:tcW w:type="dxa" w:w="1134"/>
          </w:tcPr>
          <w:p>
            <w:pPr>
              <w:jc w:val="right"/>
            </w:pPr>
          </w:p>
        </w:tc>
        <w:tc>
          <w:tcPr>
            <w:tcW w:type="dxa" w:w="1134"/>
          </w:tcPr>
          <w:p>
            <w:pPr>
              <w:jc w:val="right"/>
            </w:pPr>
          </w:p>
        </w:tc>
      </w:tr>
      <w:tr>
        <w:tc>
          <w:tcPr>
            <w:tcW w:type="dxa" w:w="6917"/>
          </w:tcPr>
          <w:p>
            <w:r>
              <w:rPr>
                <w:rStyle w:val="Strong"/>
                <w:b/>
              </w:rPr>
              <w:t>Cantonese Satay Beef</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celery, crustaceans, soya, peanuts</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Rice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Herb Vita Potatoes</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Love Joes Chicken Wrap</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Lamb Doner Kebab</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Louisiana Rice Burrito With BBQ Pulled Jackfruit</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Tuesday 19 March 2019</dc:description>
  <dc:title>Daily Menu for Tuesday 19 March 2019</dc:title>
</cp:coreProperties>
</file>