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Pasta And Broccoli Cheese Bake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Salad</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Burger with Bun</w:t>
      </w:r>
    </w:p>
    <w:p/>
    <w:p>
      <w:pPr>
        <w:pStyle w:val="Subtitle"/>
      </w:pPr>
      <w:r>
        <w:t>Chicken Burger</w:t>
      </w:r>
    </w:p>
    <w:p>
      <w:pPr>
        <w:jc w:val="center"/>
      </w:pPr>
      <w:r>
        <w:rPr>
          <w:rStyle w:val="SubtleEmphasis"/>
        </w:rPr>
        <w:t>Contains cereals containing gluten, celery, mustard</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Friday 16 August 2019</dc:description>
  <dc:title>Daily Menu for Friday 16 August 2019</dc:title>
</cp:coreProperties>
</file>